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52CCDB0F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A905C0">
        <w:rPr>
          <w:rFonts w:ascii="Times New Roman" w:hAnsi="Times New Roman" w:cs="Times New Roman"/>
        </w:rPr>
        <w:t>Жирятинское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A905C0">
        <w:rPr>
          <w:rFonts w:ascii="Times New Roman" w:hAnsi="Times New Roman" w:cs="Times New Roman"/>
        </w:rPr>
        <w:t>210205</w:t>
      </w:r>
      <w:r w:rsidR="00D62292">
        <w:rPr>
          <w:rFonts w:ascii="Times New Roman" w:hAnsi="Times New Roman" w:cs="Times New Roman"/>
        </w:rPr>
        <w:t>:</w:t>
      </w:r>
      <w:r w:rsidR="00A905C0">
        <w:rPr>
          <w:rFonts w:ascii="Times New Roman" w:hAnsi="Times New Roman" w:cs="Times New Roman"/>
        </w:rPr>
        <w:t>187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A905C0">
        <w:rPr>
          <w:rFonts w:ascii="Times New Roman" w:hAnsi="Times New Roman" w:cs="Times New Roman"/>
        </w:rPr>
        <w:t>1937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317EF776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</w:t>
      </w:r>
      <w:r w:rsidR="008A066A">
        <w:rPr>
          <w:sz w:val="22"/>
          <w:szCs w:val="22"/>
        </w:rPr>
        <w:t>2</w:t>
      </w:r>
      <w:r w:rsidRPr="00687FC4">
        <w:rPr>
          <w:sz w:val="22"/>
          <w:szCs w:val="22"/>
        </w:rPr>
        <w:t>-х экземплярах, имеющих одинаковую юридическую силу, по одному экземпляру для каждой из сторон.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EE8377E" w:rsidR="00996161" w:rsidRPr="00892DF3" w:rsidRDefault="00996161" w:rsidP="008A066A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A066A"/>
    <w:rsid w:val="008C3DB3"/>
    <w:rsid w:val="008C6558"/>
    <w:rsid w:val="008F401B"/>
    <w:rsid w:val="00913E31"/>
    <w:rsid w:val="00945727"/>
    <w:rsid w:val="00996161"/>
    <w:rsid w:val="009A281E"/>
    <w:rsid w:val="00A71D34"/>
    <w:rsid w:val="00A905C0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2019-06-27T11:39:00Z</cp:lastPrinted>
  <dcterms:created xsi:type="dcterms:W3CDTF">2016-04-28T09:49:00Z</dcterms:created>
  <dcterms:modified xsi:type="dcterms:W3CDTF">2022-08-02T05:44:00Z</dcterms:modified>
</cp:coreProperties>
</file>