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6" w:rsidRDefault="005D0036">
      <w:bookmarkStart w:id="0" w:name="_GoBack"/>
      <w:bookmarkEnd w:id="0"/>
      <w:r>
        <w:t xml:space="preserve">    </w:t>
      </w:r>
    </w:p>
    <w:p w:rsidR="005D0036" w:rsidRDefault="005D0036">
      <w:pPr>
        <w:pStyle w:val="3"/>
        <w:rPr>
          <w:sz w:val="16"/>
        </w:rPr>
      </w:pPr>
    </w:p>
    <w:p w:rsidR="00103B1D" w:rsidRPr="00221BC2" w:rsidRDefault="00103B1D">
      <w:pPr>
        <w:pStyle w:val="3"/>
        <w:rPr>
          <w:szCs w:val="28"/>
        </w:rPr>
      </w:pPr>
      <w:r w:rsidRPr="00221BC2">
        <w:rPr>
          <w:szCs w:val="28"/>
        </w:rPr>
        <w:t>ЖИРЯТИНСКОЕ СЕЛЬСКОЕ ПОСЕЛЕНИЕ</w:t>
      </w:r>
    </w:p>
    <w:p w:rsidR="005D0036" w:rsidRPr="00221BC2" w:rsidRDefault="005D0036">
      <w:pPr>
        <w:pStyle w:val="3"/>
        <w:rPr>
          <w:szCs w:val="28"/>
        </w:rPr>
      </w:pPr>
      <w:r w:rsidRPr="00221BC2">
        <w:rPr>
          <w:szCs w:val="28"/>
        </w:rPr>
        <w:t xml:space="preserve">ЖИРЯТИНСКИЙ </w:t>
      </w:r>
      <w:r w:rsidR="006F24D5" w:rsidRPr="00221BC2">
        <w:rPr>
          <w:szCs w:val="28"/>
        </w:rPr>
        <w:t>СЕЛЬСКИЙ</w:t>
      </w:r>
      <w:r w:rsidRPr="00221BC2">
        <w:rPr>
          <w:szCs w:val="28"/>
        </w:rPr>
        <w:t xml:space="preserve"> СОВЕТ НАРОДНЫХ ДЕПУТАТОВ</w:t>
      </w:r>
    </w:p>
    <w:p w:rsidR="005D0036" w:rsidRDefault="005D0036">
      <w:pPr>
        <w:jc w:val="center"/>
        <w:rPr>
          <w:b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rPr>
          <w:b/>
          <w:i w:val="0"/>
          <w:sz w:val="28"/>
        </w:rPr>
      </w:pPr>
      <w:r>
        <w:rPr>
          <w:b/>
          <w:i w:val="0"/>
          <w:sz w:val="28"/>
        </w:rPr>
        <w:t>Р Е Ш Е Н И Е</w:t>
      </w: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Pr="00ED0E58" w:rsidRDefault="00F7465C">
      <w:pPr>
        <w:pStyle w:val="4"/>
        <w:jc w:val="left"/>
        <w:rPr>
          <w:i w:val="0"/>
          <w:sz w:val="28"/>
        </w:rPr>
      </w:pPr>
      <w:r>
        <w:rPr>
          <w:i w:val="0"/>
          <w:sz w:val="28"/>
        </w:rPr>
        <w:t>о</w:t>
      </w:r>
      <w:r w:rsidR="005D0036">
        <w:rPr>
          <w:i w:val="0"/>
          <w:sz w:val="28"/>
        </w:rPr>
        <w:t>т</w:t>
      </w:r>
      <w:r w:rsidR="000D05B6">
        <w:rPr>
          <w:i w:val="0"/>
          <w:sz w:val="28"/>
        </w:rPr>
        <w:t xml:space="preserve"> 06</w:t>
      </w:r>
      <w:r>
        <w:rPr>
          <w:i w:val="0"/>
          <w:sz w:val="28"/>
        </w:rPr>
        <w:t xml:space="preserve"> </w:t>
      </w:r>
      <w:r w:rsidR="000D05B6">
        <w:rPr>
          <w:i w:val="0"/>
          <w:sz w:val="28"/>
        </w:rPr>
        <w:t>апреля</w:t>
      </w:r>
      <w:r>
        <w:rPr>
          <w:i w:val="0"/>
          <w:sz w:val="28"/>
        </w:rPr>
        <w:t xml:space="preserve"> </w:t>
      </w:r>
      <w:r w:rsidR="00A82EBB">
        <w:rPr>
          <w:i w:val="0"/>
          <w:sz w:val="28"/>
        </w:rPr>
        <w:t>20</w:t>
      </w:r>
      <w:r w:rsidR="00ED0E58">
        <w:rPr>
          <w:i w:val="0"/>
          <w:sz w:val="28"/>
        </w:rPr>
        <w:t>1</w:t>
      </w:r>
      <w:r w:rsidR="00FF26C3">
        <w:rPr>
          <w:i w:val="0"/>
          <w:sz w:val="28"/>
        </w:rPr>
        <w:t>8</w:t>
      </w:r>
      <w:r w:rsidR="00A82EBB">
        <w:rPr>
          <w:i w:val="0"/>
          <w:sz w:val="28"/>
        </w:rPr>
        <w:t xml:space="preserve"> год</w:t>
      </w:r>
      <w:r w:rsidR="005D0036">
        <w:rPr>
          <w:sz w:val="28"/>
        </w:rPr>
        <w:t xml:space="preserve"> </w:t>
      </w:r>
      <w:r w:rsidR="005D0036" w:rsidRPr="00ED0E58">
        <w:rPr>
          <w:i w:val="0"/>
          <w:sz w:val="28"/>
        </w:rPr>
        <w:t>№</w:t>
      </w:r>
      <w:r w:rsidR="00ED0E58">
        <w:rPr>
          <w:i w:val="0"/>
          <w:sz w:val="28"/>
        </w:rPr>
        <w:t xml:space="preserve"> 3-</w:t>
      </w:r>
      <w:r w:rsidR="00FD6D0B">
        <w:rPr>
          <w:i w:val="0"/>
          <w:sz w:val="28"/>
        </w:rPr>
        <w:t>146</w:t>
      </w:r>
    </w:p>
    <w:p w:rsidR="005D0036" w:rsidRDefault="00E52886">
      <w:pPr>
        <w:rPr>
          <w:sz w:val="28"/>
        </w:rPr>
      </w:pPr>
      <w:r>
        <w:rPr>
          <w:sz w:val="28"/>
        </w:rPr>
        <w:t>с</w:t>
      </w:r>
      <w:r w:rsidR="005D0036">
        <w:rPr>
          <w:sz w:val="28"/>
        </w:rPr>
        <w:t>.</w:t>
      </w:r>
      <w:r w:rsidR="00F7465C">
        <w:rPr>
          <w:sz w:val="28"/>
        </w:rPr>
        <w:t xml:space="preserve"> </w:t>
      </w:r>
      <w:r w:rsidR="005D0036">
        <w:rPr>
          <w:sz w:val="28"/>
        </w:rPr>
        <w:t>Жирятино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165A82" w:rsidRDefault="005D0036">
      <w:pPr>
        <w:rPr>
          <w:sz w:val="28"/>
        </w:rPr>
      </w:pPr>
      <w:r>
        <w:rPr>
          <w:sz w:val="28"/>
        </w:rPr>
        <w:t>О</w:t>
      </w:r>
      <w:r w:rsidR="00165A82">
        <w:rPr>
          <w:sz w:val="28"/>
        </w:rPr>
        <w:t xml:space="preserve">б утверждении критериев оценки </w:t>
      </w:r>
    </w:p>
    <w:p w:rsidR="00165A82" w:rsidRDefault="00165A82">
      <w:pPr>
        <w:rPr>
          <w:sz w:val="28"/>
        </w:rPr>
      </w:pPr>
      <w:r>
        <w:rPr>
          <w:sz w:val="28"/>
        </w:rPr>
        <w:t>состояния и значимости автомобильных</w:t>
      </w:r>
    </w:p>
    <w:p w:rsidR="00165A82" w:rsidRDefault="00165A82">
      <w:pPr>
        <w:rPr>
          <w:sz w:val="28"/>
        </w:rPr>
      </w:pPr>
      <w:r>
        <w:rPr>
          <w:sz w:val="28"/>
        </w:rPr>
        <w:t xml:space="preserve"> дорог для выделения средств на проведение</w:t>
      </w:r>
    </w:p>
    <w:p w:rsidR="00165A82" w:rsidRDefault="00165A82">
      <w:pPr>
        <w:rPr>
          <w:sz w:val="28"/>
        </w:rPr>
      </w:pPr>
      <w:r>
        <w:rPr>
          <w:sz w:val="28"/>
        </w:rPr>
        <w:t xml:space="preserve"> ремонта, капитального ремонта автомобильных </w:t>
      </w:r>
    </w:p>
    <w:p w:rsidR="00165A82" w:rsidRDefault="00165A82">
      <w:pPr>
        <w:rPr>
          <w:sz w:val="28"/>
        </w:rPr>
      </w:pPr>
      <w:r>
        <w:rPr>
          <w:sz w:val="28"/>
        </w:rPr>
        <w:t xml:space="preserve">дорог общего пользования местного значения </w:t>
      </w:r>
    </w:p>
    <w:p w:rsidR="005D0036" w:rsidRDefault="00165A82">
      <w:pPr>
        <w:rPr>
          <w:sz w:val="28"/>
        </w:rPr>
      </w:pPr>
      <w:r>
        <w:rPr>
          <w:sz w:val="28"/>
        </w:rPr>
        <w:t>Жирятинского сельского поселения</w:t>
      </w:r>
      <w:r w:rsidR="005D0036">
        <w:rPr>
          <w:sz w:val="28"/>
        </w:rPr>
        <w:t xml:space="preserve"> 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237C34" w:rsidRDefault="005D0036" w:rsidP="00D632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8464D">
        <w:rPr>
          <w:sz w:val="28"/>
        </w:rPr>
        <w:t xml:space="preserve">        </w:t>
      </w:r>
      <w:r w:rsidR="00165A82">
        <w:rPr>
          <w:sz w:val="28"/>
        </w:rPr>
        <w:t>В целях установления приоритетов дорожной деятельности, в соответствии с Уставом Жирятинского сельского поселения, решением Жирятинского сельского Совета народных депутатов от 27.10.2017 года № 3-133 «О принятии к осуществлению полномочий по решению отдельных вопросов местного значения Жирятинского района в сфере дорожного хозяйства»</w:t>
      </w:r>
      <w:r w:rsidR="00A82EBB">
        <w:rPr>
          <w:sz w:val="28"/>
        </w:rPr>
        <w:t xml:space="preserve">, </w:t>
      </w:r>
    </w:p>
    <w:p w:rsidR="005D0036" w:rsidRDefault="005D0036">
      <w:pPr>
        <w:rPr>
          <w:sz w:val="28"/>
        </w:rPr>
      </w:pPr>
      <w:r>
        <w:rPr>
          <w:sz w:val="28"/>
        </w:rPr>
        <w:t xml:space="preserve">Жирятинский </w:t>
      </w:r>
      <w:r w:rsidR="006F24D5">
        <w:rPr>
          <w:sz w:val="28"/>
        </w:rPr>
        <w:t>сельский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Совет  народных</w:t>
      </w:r>
      <w:proofErr w:type="gramEnd"/>
      <w:r>
        <w:rPr>
          <w:sz w:val="28"/>
        </w:rPr>
        <w:t xml:space="preserve"> депутатов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b/>
          <w:sz w:val="28"/>
        </w:rPr>
      </w:pPr>
      <w:r>
        <w:rPr>
          <w:b/>
          <w:sz w:val="28"/>
        </w:rPr>
        <w:t xml:space="preserve">Р Е Ш И </w:t>
      </w:r>
      <w:proofErr w:type="gramStart"/>
      <w:r>
        <w:rPr>
          <w:b/>
          <w:sz w:val="28"/>
        </w:rPr>
        <w:t>Л :</w:t>
      </w:r>
      <w:proofErr w:type="gramEnd"/>
    </w:p>
    <w:p w:rsidR="005D0036" w:rsidRDefault="005D0036">
      <w:pPr>
        <w:rPr>
          <w:b/>
          <w:sz w:val="28"/>
        </w:rPr>
      </w:pPr>
    </w:p>
    <w:p w:rsidR="005D0036" w:rsidRDefault="005D0036">
      <w:pPr>
        <w:rPr>
          <w:sz w:val="28"/>
        </w:rPr>
      </w:pPr>
    </w:p>
    <w:p w:rsidR="00165A82" w:rsidRDefault="00165A82" w:rsidP="00165A8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ab/>
        <w:t xml:space="preserve">1. Утвердить </w:t>
      </w:r>
      <w:r>
        <w:rPr>
          <w:sz w:val="28"/>
        </w:rPr>
        <w:t>критерии оценки состояния и значимости автомобильных дорог для выделения средств на проведение ремонта, капитального ремонта автомобильных дорог общего пользования местного значения</w:t>
      </w:r>
      <w:r w:rsidRPr="00165A8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0D05B6">
        <w:rPr>
          <w:sz w:val="28"/>
          <w:szCs w:val="28"/>
        </w:rPr>
        <w:t>я</w:t>
      </w:r>
      <w:r>
        <w:rPr>
          <w:sz w:val="28"/>
          <w:szCs w:val="28"/>
        </w:rPr>
        <w:t xml:space="preserve"> №1. </w:t>
      </w:r>
    </w:p>
    <w:p w:rsidR="00165A82" w:rsidRPr="00296DEF" w:rsidRDefault="00165A82" w:rsidP="00165A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96DEF">
        <w:rPr>
          <w:sz w:val="28"/>
          <w:szCs w:val="28"/>
        </w:rPr>
        <w:t>Направить данное решение для исполнения в администрацию Жирятинского района.</w:t>
      </w:r>
    </w:p>
    <w:p w:rsidR="00165A82" w:rsidRDefault="00165A82" w:rsidP="00165A82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5D0036" w:rsidRPr="00117223" w:rsidRDefault="005D0036">
      <w:pPr>
        <w:rPr>
          <w:color w:val="000000"/>
          <w:sz w:val="28"/>
        </w:rPr>
      </w:pPr>
    </w:p>
    <w:p w:rsidR="005D0036" w:rsidRPr="00FF26C3" w:rsidRDefault="005D0036">
      <w:pPr>
        <w:rPr>
          <w:color w:val="FF0000"/>
          <w:sz w:val="28"/>
        </w:rPr>
      </w:pPr>
    </w:p>
    <w:p w:rsidR="00D632F3" w:rsidRDefault="00D632F3" w:rsidP="00D632F3">
      <w:pPr>
        <w:shd w:val="clear" w:color="auto" w:fill="FFFFFF"/>
        <w:rPr>
          <w:spacing w:val="-3"/>
          <w:sz w:val="28"/>
          <w:szCs w:val="28"/>
        </w:rPr>
      </w:pPr>
      <w:r w:rsidRPr="006A4FEA">
        <w:rPr>
          <w:spacing w:val="-3"/>
          <w:sz w:val="28"/>
          <w:szCs w:val="28"/>
        </w:rPr>
        <w:t>Глава Жирятинского се</w:t>
      </w:r>
      <w:r w:rsidR="006A4FEA">
        <w:rPr>
          <w:spacing w:val="-3"/>
          <w:sz w:val="28"/>
          <w:szCs w:val="28"/>
        </w:rPr>
        <w:t>льского поселения</w:t>
      </w:r>
      <w:r w:rsidR="006A4FEA">
        <w:rPr>
          <w:spacing w:val="-3"/>
          <w:sz w:val="28"/>
          <w:szCs w:val="28"/>
        </w:rPr>
        <w:tab/>
        <w:t xml:space="preserve">            </w:t>
      </w:r>
      <w:r w:rsidRPr="006A4FEA">
        <w:rPr>
          <w:spacing w:val="-3"/>
          <w:sz w:val="28"/>
          <w:szCs w:val="28"/>
        </w:rPr>
        <w:tab/>
        <w:t xml:space="preserve">          </w:t>
      </w:r>
      <w:r w:rsidRPr="006A4FEA">
        <w:rPr>
          <w:spacing w:val="-3"/>
          <w:sz w:val="28"/>
          <w:szCs w:val="28"/>
        </w:rPr>
        <w:tab/>
        <w:t>И.А. Денисенков</w:t>
      </w:r>
    </w:p>
    <w:p w:rsidR="00784BB2" w:rsidRDefault="00784BB2" w:rsidP="00D632F3">
      <w:pPr>
        <w:shd w:val="clear" w:color="auto" w:fill="FFFFFF"/>
        <w:rPr>
          <w:spacing w:val="-3"/>
          <w:sz w:val="28"/>
          <w:szCs w:val="28"/>
        </w:rPr>
      </w:pPr>
    </w:p>
    <w:p w:rsidR="00784BB2" w:rsidRDefault="00784BB2" w:rsidP="00784BB2">
      <w:pPr>
        <w:jc w:val="right"/>
      </w:pPr>
      <w:r>
        <w:lastRenderedPageBreak/>
        <w:t xml:space="preserve">Приложение </w:t>
      </w:r>
    </w:p>
    <w:p w:rsidR="00784BB2" w:rsidRDefault="00784BB2" w:rsidP="00784BB2">
      <w:pPr>
        <w:jc w:val="right"/>
      </w:pPr>
      <w:r>
        <w:t xml:space="preserve">к решению Жирятинского сельского </w:t>
      </w:r>
    </w:p>
    <w:p w:rsidR="00784BB2" w:rsidRDefault="00784BB2" w:rsidP="00784BB2">
      <w:pPr>
        <w:jc w:val="right"/>
      </w:pPr>
      <w:r>
        <w:t>Совета народных депутатов</w:t>
      </w:r>
    </w:p>
    <w:p w:rsidR="00784BB2" w:rsidRDefault="00784BB2" w:rsidP="00784BB2">
      <w:pPr>
        <w:jc w:val="right"/>
      </w:pPr>
      <w:proofErr w:type="gramStart"/>
      <w:r>
        <w:t>от  06.04.2018</w:t>
      </w:r>
      <w:proofErr w:type="gramEnd"/>
      <w:r>
        <w:t xml:space="preserve"> года. № 3-146</w:t>
      </w:r>
    </w:p>
    <w:p w:rsidR="00784BB2" w:rsidRDefault="00784BB2" w:rsidP="00784BB2">
      <w:pPr>
        <w:shd w:val="clear" w:color="auto" w:fill="FFFFFF"/>
        <w:spacing w:line="274" w:lineRule="exact"/>
        <w:jc w:val="center"/>
      </w:pPr>
      <w:r>
        <w:rPr>
          <w:color w:val="000000"/>
          <w:sz w:val="24"/>
          <w:szCs w:val="24"/>
        </w:rPr>
        <w:t>Критерии оценки</w:t>
      </w:r>
    </w:p>
    <w:p w:rsidR="00784BB2" w:rsidRDefault="00784BB2" w:rsidP="00784BB2">
      <w:pPr>
        <w:shd w:val="clear" w:color="auto" w:fill="FFFFFF"/>
        <w:spacing w:line="274" w:lineRule="exact"/>
        <w:ind w:left="1133" w:right="1325" w:firstLine="1152"/>
      </w:pPr>
      <w:r>
        <w:rPr>
          <w:color w:val="000000"/>
          <w:sz w:val="24"/>
          <w:szCs w:val="24"/>
        </w:rPr>
        <w:t>состояния и значимости автомобильных дорог для выделения средств на проведение ремонта, капитального ремонта автомобильных дорог общего пользования местного значения Жирятинского</w:t>
      </w:r>
      <w:r>
        <w:rPr>
          <w:color w:val="000000"/>
          <w:spacing w:val="-1"/>
          <w:sz w:val="24"/>
          <w:szCs w:val="24"/>
        </w:rPr>
        <w:t xml:space="preserve"> сельского поселения </w:t>
      </w:r>
    </w:p>
    <w:p w:rsidR="00784BB2" w:rsidRDefault="00784BB2" w:rsidP="00784BB2">
      <w:pPr>
        <w:spacing w:after="264" w:line="1" w:lineRule="exact"/>
        <w:rPr>
          <w:rFonts w:ascii="Arial" w:hAnsi="Arial"/>
          <w:sz w:val="2"/>
          <w:szCs w:val="2"/>
        </w:rPr>
      </w:pPr>
    </w:p>
    <w:tbl>
      <w:tblPr>
        <w:tblW w:w="107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5691"/>
        <w:gridCol w:w="4513"/>
      </w:tblGrid>
      <w:tr w:rsidR="00784BB2" w:rsidTr="00784BB2">
        <w:trPr>
          <w:trHeight w:val="3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77"/>
              <w:jc w:val="center"/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spacing w:val="-7"/>
              </w:rPr>
              <w:t>п/п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1622"/>
            </w:pPr>
            <w:r>
              <w:rPr>
                <w:b/>
                <w:bCs/>
                <w:color w:val="000000"/>
                <w:spacing w:val="-2"/>
              </w:rPr>
              <w:t>Наименование критерия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4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2338"/>
            </w:pPr>
            <w:r>
              <w:rPr>
                <w:color w:val="000000"/>
                <w:spacing w:val="-2"/>
              </w:rPr>
              <w:t>количество баллов</w:t>
            </w:r>
          </w:p>
        </w:tc>
      </w:tr>
      <w:tr w:rsidR="00784BB2" w:rsidTr="00784BB2">
        <w:trPr>
          <w:trHeight w:hRule="exact" w:val="8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/>
          <w:p w:rsidR="00784BB2" w:rsidRDefault="00784BB2"/>
        </w:tc>
        <w:tc>
          <w:tcPr>
            <w:tcW w:w="5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/>
          <w:p w:rsidR="00784BB2" w:rsidRDefault="00784BB2"/>
        </w:tc>
        <w:tc>
          <w:tcPr>
            <w:tcW w:w="4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BB2" w:rsidRDefault="00784BB2"/>
        </w:tc>
      </w:tr>
      <w:tr w:rsidR="00784BB2" w:rsidTr="00784BB2">
        <w:trPr>
          <w:trHeight w:hRule="exact" w:val="3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14" w:right="816"/>
            </w:pPr>
            <w:r>
              <w:rPr>
                <w:color w:val="000000"/>
                <w:spacing w:val="-1"/>
              </w:rPr>
              <w:t>Наличие маршрута общественного транспорта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</w:pPr>
          </w:p>
        </w:tc>
      </w:tr>
      <w:tr w:rsidR="00784BB2" w:rsidTr="00784BB2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2184"/>
            </w:pPr>
            <w:r>
              <w:rPr>
                <w:i/>
                <w:iCs/>
                <w:color w:val="000000"/>
                <w:spacing w:val="-2"/>
              </w:rPr>
              <w:t>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2035"/>
            </w:pPr>
            <w:r>
              <w:rPr>
                <w:i/>
                <w:iCs/>
                <w:color w:val="000000"/>
                <w:spacing w:val="-2"/>
              </w:rPr>
              <w:t>Не 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84BB2" w:rsidTr="00784BB2">
        <w:trPr>
          <w:trHeight w:hRule="exact"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5" w:right="302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Техническое состояние автодороги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538" w:right="533"/>
            </w:pPr>
            <w:r>
              <w:rPr>
                <w:i/>
                <w:iCs/>
                <w:color w:val="000000"/>
                <w:spacing w:val="-1"/>
              </w:rPr>
              <w:t xml:space="preserve">Очень плохое, чрезвычайно высокая потребность в </w:t>
            </w:r>
            <w:r>
              <w:rPr>
                <w:i/>
                <w:iCs/>
                <w:color w:val="000000"/>
              </w:rPr>
              <w:t>ремонте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2414"/>
            </w:pPr>
            <w:r>
              <w:rPr>
                <w:i/>
                <w:iCs/>
                <w:color w:val="000000"/>
                <w:spacing w:val="-2"/>
              </w:rPr>
              <w:t>Плохое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4BB2" w:rsidTr="00784BB2">
        <w:trPr>
          <w:trHeight w:hRule="exact" w:val="6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103"/>
            </w:pPr>
            <w:r>
              <w:rPr>
                <w:i/>
                <w:iCs/>
                <w:color w:val="000000"/>
                <w:spacing w:val="-3"/>
              </w:rPr>
              <w:t>Удовлетворительное (нет участков превышающих требования ГОСТ по безопасности дорожного полотна)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4BB2" w:rsidTr="00784BB2">
        <w:trPr>
          <w:trHeight w:hRule="exact"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right="34"/>
              <w:rPr>
                <w:b/>
              </w:rPr>
            </w:pPr>
            <w:r>
              <w:rPr>
                <w:b/>
                <w:color w:val="000000"/>
              </w:rPr>
              <w:t>Выполнение автодорогой транзитных функций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2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331" w:right="350"/>
            </w:pPr>
            <w:r>
              <w:rPr>
                <w:i/>
                <w:iCs/>
                <w:color w:val="000000"/>
                <w:spacing w:val="-1"/>
              </w:rPr>
              <w:t>Является основной, опорной автодорогой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ind w:left="197"/>
            </w:pPr>
            <w:r>
              <w:rPr>
                <w:i/>
                <w:iCs/>
                <w:color w:val="000000"/>
                <w:spacing w:val="-1"/>
              </w:rPr>
              <w:t>Является вспомогательной автодорогой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4BB2" w:rsidTr="00784BB2">
        <w:trPr>
          <w:trHeight w:hRule="exact" w:val="3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336" w:right="370"/>
            </w:pPr>
            <w:r>
              <w:rPr>
                <w:i/>
                <w:iCs/>
                <w:color w:val="000000"/>
                <w:spacing w:val="-1"/>
              </w:rPr>
              <w:t>Является подъездом к группе домов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4BB2" w:rsidTr="00784BB2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right="269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Нагрузка на автодорогу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ind w:left="826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2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216" w:right="235"/>
            </w:pPr>
            <w:r>
              <w:rPr>
                <w:i/>
                <w:iCs/>
                <w:color w:val="000000"/>
                <w:spacing w:val="-1"/>
              </w:rPr>
              <w:t>До 100 квартир на 1 км автодороги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5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250" w:right="288"/>
            </w:pPr>
            <w:r>
              <w:rPr>
                <w:i/>
                <w:iCs/>
                <w:color w:val="000000"/>
                <w:spacing w:val="-1"/>
              </w:rPr>
              <w:t>До 50 квартир на 1 км автодороги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</w:pPr>
            <w:r>
              <w:rPr>
                <w:i/>
                <w:iCs/>
                <w:color w:val="000000"/>
                <w:spacing w:val="-2"/>
              </w:rPr>
              <w:t xml:space="preserve">До 10 </w:t>
            </w:r>
            <w:r>
              <w:rPr>
                <w:i/>
                <w:iCs/>
                <w:color w:val="000000"/>
                <w:spacing w:val="-1"/>
              </w:rPr>
              <w:t>квартир на 1 км автодороги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4BB2" w:rsidTr="00784BB2"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right="269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Удельная стоимость 1 погонного метра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ind w:left="826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2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216" w:right="235"/>
            </w:pPr>
            <w:r>
              <w:rPr>
                <w:i/>
                <w:iCs/>
                <w:color w:val="000000"/>
                <w:spacing w:val="-1"/>
              </w:rPr>
              <w:t>В пределах сложившейся по данному виду покрытия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5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spacing w:line="230" w:lineRule="exact"/>
              <w:ind w:left="250" w:right="288"/>
            </w:pPr>
            <w:proofErr w:type="gramStart"/>
            <w:r>
              <w:rPr>
                <w:i/>
                <w:iCs/>
                <w:color w:val="000000"/>
                <w:spacing w:val="-1"/>
              </w:rPr>
              <w:t>Превышает  менее</w:t>
            </w:r>
            <w:proofErr w:type="gramEnd"/>
            <w:r>
              <w:rPr>
                <w:i/>
                <w:iCs/>
                <w:color w:val="000000"/>
                <w:spacing w:val="-1"/>
              </w:rPr>
              <w:t xml:space="preserve"> чем в 2 раза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</w:pPr>
            <w:proofErr w:type="gramStart"/>
            <w:r>
              <w:rPr>
                <w:i/>
                <w:iCs/>
                <w:color w:val="000000"/>
                <w:spacing w:val="-1"/>
              </w:rPr>
              <w:t>Превышает  более</w:t>
            </w:r>
            <w:proofErr w:type="gramEnd"/>
            <w:r>
              <w:rPr>
                <w:i/>
                <w:iCs/>
                <w:color w:val="000000"/>
                <w:spacing w:val="-1"/>
              </w:rPr>
              <w:t xml:space="preserve"> чем в 2 раза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b/>
                <w:iCs/>
                <w:color w:val="000000"/>
                <w:spacing w:val="-2"/>
              </w:rPr>
            </w:pPr>
            <w:r>
              <w:rPr>
                <w:b/>
                <w:iCs/>
                <w:color w:val="000000"/>
                <w:spacing w:val="-2"/>
              </w:rPr>
              <w:t>Наличие Проектно-сметной документации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Не 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b/>
                <w:iCs/>
                <w:color w:val="000000"/>
                <w:spacing w:val="-2"/>
              </w:rPr>
            </w:pPr>
            <w:r>
              <w:rPr>
                <w:b/>
                <w:iCs/>
                <w:color w:val="000000"/>
                <w:spacing w:val="-2"/>
              </w:rPr>
              <w:t>Наличие обращений граждан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Не 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b/>
                <w:iCs/>
                <w:color w:val="000000"/>
                <w:spacing w:val="-2"/>
              </w:rPr>
            </w:pPr>
            <w:r>
              <w:rPr>
                <w:b/>
                <w:iCs/>
                <w:color w:val="000000"/>
                <w:spacing w:val="-2"/>
              </w:rPr>
              <w:t>Наличие судебных решений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Не 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b/>
                <w:iCs/>
                <w:color w:val="000000"/>
                <w:spacing w:val="-2"/>
              </w:rPr>
            </w:pPr>
            <w:r>
              <w:rPr>
                <w:b/>
                <w:iCs/>
                <w:color w:val="000000"/>
                <w:spacing w:val="-2"/>
              </w:rPr>
              <w:t>Наличие средств в текущем (плановом) году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  <w:jc w:val="center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84BB2" w:rsidTr="00784BB2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BB2" w:rsidRDefault="00784BB2">
            <w:pPr>
              <w:shd w:val="clear" w:color="auto" w:fill="FFFFFF"/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Не имеется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4BB2" w:rsidRDefault="00784BB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84BB2" w:rsidTr="00784BB2">
        <w:trPr>
          <w:trHeight w:hRule="exact" w:val="336"/>
        </w:trPr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BB2" w:rsidRDefault="00784BB2">
            <w:pPr>
              <w:shd w:val="clear" w:color="auto" w:fill="FFFFFF"/>
              <w:spacing w:line="226" w:lineRule="exact"/>
              <w:ind w:left="403" w:right="432"/>
              <w:rPr>
                <w:b/>
                <w:iCs/>
                <w:color w:val="000000"/>
                <w:spacing w:val="-2"/>
              </w:rPr>
            </w:pPr>
            <w:r>
              <w:rPr>
                <w:b/>
                <w:iCs/>
                <w:color w:val="000000"/>
                <w:spacing w:val="-2"/>
              </w:rPr>
              <w:t>Всего баллов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BB2" w:rsidRDefault="00784BB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84BB2" w:rsidRDefault="00784BB2" w:rsidP="00784BB2"/>
    <w:p w:rsidR="005D0036" w:rsidRDefault="00784BB2" w:rsidP="00D632F3">
      <w:pPr>
        <w:rPr>
          <w:sz w:val="28"/>
        </w:rPr>
      </w:pPr>
      <w:r>
        <w:rPr>
          <w:sz w:val="24"/>
          <w:szCs w:val="24"/>
        </w:rPr>
        <w:t>Решение принимается по совокупности набранных баллов</w:t>
      </w:r>
    </w:p>
    <w:sectPr w:rsidR="005D0036">
      <w:pgSz w:w="11906" w:h="16838"/>
      <w:pgMar w:top="567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9C9"/>
    <w:multiLevelType w:val="singleLevel"/>
    <w:tmpl w:val="392245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52584073"/>
    <w:multiLevelType w:val="hybridMultilevel"/>
    <w:tmpl w:val="BE344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2EB"/>
    <w:multiLevelType w:val="hybridMultilevel"/>
    <w:tmpl w:val="8E34E5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E3E"/>
    <w:multiLevelType w:val="singleLevel"/>
    <w:tmpl w:val="6C7649B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CF"/>
    <w:rsid w:val="00067972"/>
    <w:rsid w:val="000D05B6"/>
    <w:rsid w:val="00103B1D"/>
    <w:rsid w:val="00117223"/>
    <w:rsid w:val="00165A82"/>
    <w:rsid w:val="001973EB"/>
    <w:rsid w:val="00221BC2"/>
    <w:rsid w:val="00237C34"/>
    <w:rsid w:val="00246EE4"/>
    <w:rsid w:val="002471CF"/>
    <w:rsid w:val="002A676B"/>
    <w:rsid w:val="0035740E"/>
    <w:rsid w:val="005D0036"/>
    <w:rsid w:val="006A4FEA"/>
    <w:rsid w:val="006F24D5"/>
    <w:rsid w:val="00784BB2"/>
    <w:rsid w:val="008A2788"/>
    <w:rsid w:val="00A82EBB"/>
    <w:rsid w:val="00B84067"/>
    <w:rsid w:val="00B8464D"/>
    <w:rsid w:val="00CB5121"/>
    <w:rsid w:val="00D632F3"/>
    <w:rsid w:val="00DF2DEE"/>
    <w:rsid w:val="00E52886"/>
    <w:rsid w:val="00ED0E58"/>
    <w:rsid w:val="00F7465C"/>
    <w:rsid w:val="00FD6D0B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6A6C-8E62-477E-A758-8C4D935C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Balloon Text"/>
    <w:basedOn w:val="a"/>
    <w:link w:val="a6"/>
    <w:rsid w:val="00D6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8;&#1072;&#1090;&#1100;&#1103;&#1085;&#1072;\&#1076;&#1086;&#1074;&#1075;&#1086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довгорук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Маркина</dc:creator>
  <cp:keywords/>
  <cp:lastModifiedBy>Администратор</cp:lastModifiedBy>
  <cp:revision>2</cp:revision>
  <cp:lastPrinted>2018-03-22T12:48:00Z</cp:lastPrinted>
  <dcterms:created xsi:type="dcterms:W3CDTF">2020-08-13T14:44:00Z</dcterms:created>
  <dcterms:modified xsi:type="dcterms:W3CDTF">2020-08-13T14:44:00Z</dcterms:modified>
</cp:coreProperties>
</file>