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9F" w:rsidRDefault="00D2699F" w:rsidP="00D2699F">
      <w:pPr>
        <w:tabs>
          <w:tab w:val="left" w:pos="1520"/>
          <w:tab w:val="left" w:pos="3580"/>
          <w:tab w:val="center" w:pos="4819"/>
        </w:tabs>
        <w:jc w:val="both"/>
        <w:rPr>
          <w:sz w:val="28"/>
          <w:szCs w:val="28"/>
        </w:rPr>
      </w:pPr>
    </w:p>
    <w:p w:rsidR="00D2699F" w:rsidRDefault="00D2699F" w:rsidP="00D2699F">
      <w:pPr>
        <w:tabs>
          <w:tab w:val="left" w:pos="1520"/>
          <w:tab w:val="left" w:pos="3580"/>
          <w:tab w:val="center" w:pos="4819"/>
        </w:tabs>
        <w:jc w:val="both"/>
        <w:rPr>
          <w:sz w:val="28"/>
          <w:szCs w:val="28"/>
        </w:rPr>
      </w:pPr>
    </w:p>
    <w:p w:rsidR="00D2699F" w:rsidRDefault="00D2699F" w:rsidP="00D2699F">
      <w:pPr>
        <w:tabs>
          <w:tab w:val="left" w:pos="1520"/>
          <w:tab w:val="left" w:pos="3580"/>
          <w:tab w:val="center" w:pos="4819"/>
        </w:tabs>
        <w:jc w:val="both"/>
        <w:rPr>
          <w:sz w:val="28"/>
          <w:szCs w:val="28"/>
        </w:rPr>
      </w:pPr>
    </w:p>
    <w:p w:rsidR="00D2699F" w:rsidRDefault="00D4756D" w:rsidP="00D2699F">
      <w:pPr>
        <w:tabs>
          <w:tab w:val="left" w:pos="1520"/>
          <w:tab w:val="left" w:pos="358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r w:rsidR="00D2699F">
        <w:rPr>
          <w:sz w:val="28"/>
          <w:szCs w:val="28"/>
        </w:rPr>
        <w:t xml:space="preserve">16.06.2023 </w:t>
      </w:r>
      <w:proofErr w:type="gramStart"/>
      <w:r w:rsidR="00D2699F">
        <w:rPr>
          <w:sz w:val="28"/>
          <w:szCs w:val="28"/>
        </w:rPr>
        <w:t>года  под</w:t>
      </w:r>
      <w:proofErr w:type="gramEnd"/>
      <w:r w:rsidR="00D2699F">
        <w:rPr>
          <w:sz w:val="28"/>
          <w:szCs w:val="28"/>
        </w:rPr>
        <w:t xml:space="preserve"> председательством  заместителя главы администрации района Пожарской В.П., председателя комиссии по охране труда  проведено совещание  по вопросу производственного травматизма на предприятиях.</w:t>
      </w:r>
      <w:bookmarkEnd w:id="0"/>
    </w:p>
    <w:p w:rsidR="00D2699F" w:rsidRDefault="00D2699F" w:rsidP="00D2699F">
      <w:pPr>
        <w:tabs>
          <w:tab w:val="left" w:pos="1520"/>
          <w:tab w:val="left" w:pos="358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заседании комиссии были приглашены руководители служб района: МУП «Жирятинское ЖКУ», ООО «Жирятинское РТП», ООО «Дружба-2», администрации района и ее структурных подразделений.</w:t>
      </w:r>
    </w:p>
    <w:p w:rsidR="00D4756D" w:rsidRDefault="00D2699F" w:rsidP="00D4756D">
      <w:pPr>
        <w:tabs>
          <w:tab w:val="left" w:pos="1520"/>
          <w:tab w:val="left" w:pos="358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заседании комиссии были рассмотрены вопросы обеспечения </w:t>
      </w:r>
      <w:proofErr w:type="gramStart"/>
      <w:r>
        <w:rPr>
          <w:sz w:val="28"/>
          <w:szCs w:val="28"/>
        </w:rPr>
        <w:t>безопасности  работников</w:t>
      </w:r>
      <w:proofErr w:type="gramEnd"/>
      <w:r>
        <w:rPr>
          <w:sz w:val="28"/>
          <w:szCs w:val="28"/>
        </w:rPr>
        <w:t xml:space="preserve"> при проведении работ  на высоте, проведение своевременных  инструктажей по охране труда, обеспечение средствами индивидуальной защиты, соблюдения  нормативных требований охраны труда. </w:t>
      </w:r>
    </w:p>
    <w:p w:rsidR="00D2699F" w:rsidRDefault="00D4756D" w:rsidP="00D4756D">
      <w:pPr>
        <w:tabs>
          <w:tab w:val="left" w:pos="1520"/>
          <w:tab w:val="left" w:pos="358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главы администрации </w:t>
      </w:r>
      <w:proofErr w:type="gramStart"/>
      <w:r>
        <w:rPr>
          <w:sz w:val="28"/>
          <w:szCs w:val="28"/>
        </w:rPr>
        <w:t>района  проинформировала</w:t>
      </w:r>
      <w:proofErr w:type="gramEnd"/>
      <w:r>
        <w:rPr>
          <w:sz w:val="28"/>
          <w:szCs w:val="28"/>
        </w:rPr>
        <w:t xml:space="preserve"> присутствующих на заседании с информацией Минтруда России о несчастных случаях на производстве:</w:t>
      </w:r>
      <w:r w:rsidR="00D269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1CFE">
        <w:rPr>
          <w:sz w:val="28"/>
          <w:szCs w:val="28"/>
        </w:rPr>
        <w:t>аиболее распространенным видом происшествия групповых несчастных случаев, тяжелых несчастных случаев и несчастных случаев со смертельным исходом, происшедших на производстве, (далее – несчастные случаи на производстве с тяжелыми последствиями) является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 и на глубину (в шахты, ямы, рытвины и др.) (далее соответственно – падение при разности уровней высот, падение на глубину).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 xml:space="preserve">Так, по сведениям Федеральной службы по труду и занятости ежегодно за период с 2018 по </w:t>
      </w:r>
      <w:r>
        <w:rPr>
          <w:sz w:val="28"/>
          <w:szCs w:val="28"/>
        </w:rPr>
        <w:t>2022 годы</w:t>
      </w:r>
      <w:r w:rsidRPr="00421CFE">
        <w:rPr>
          <w:sz w:val="28"/>
          <w:szCs w:val="28"/>
        </w:rPr>
        <w:t xml:space="preserve"> в организациях Российской Федерации из общего количества несчастных случаев с тяжелыми последствиями доля несчастных случаев в результате падения при разности уровней высот и на глубину составила в среднем 23%.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Из анализа сведений, представленных государственными инспекциями труда в субъектах Российской Федерации, следует, что наибольшая доля несчастных случаев, происшедших в результате падения при разности уровней высот и на глубину, происходит по следующим причинам: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нарушение требований Правил по охране труда при работе на высоте, утвержденных приказом Минтруда России от 16 ноября 2020 г</w:t>
      </w:r>
      <w:r>
        <w:rPr>
          <w:sz w:val="28"/>
          <w:szCs w:val="28"/>
        </w:rPr>
        <w:t>ода</w:t>
      </w:r>
      <w:r w:rsidRPr="00421CFE">
        <w:rPr>
          <w:sz w:val="28"/>
          <w:szCs w:val="28"/>
        </w:rPr>
        <w:t xml:space="preserve"> № 782н;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неудовлетворительное техническое состояние зданий, сооружений, территории, полов в зданиях и помещениях и лестничных маршей, строительных конструкций, кровли</w:t>
      </w:r>
      <w:r>
        <w:rPr>
          <w:sz w:val="28"/>
          <w:szCs w:val="28"/>
        </w:rPr>
        <w:t xml:space="preserve"> и сооружений, предназначенных для </w:t>
      </w:r>
      <w:proofErr w:type="gramStart"/>
      <w:r>
        <w:rPr>
          <w:sz w:val="28"/>
          <w:szCs w:val="28"/>
        </w:rPr>
        <w:t>осуществления</w:t>
      </w:r>
      <w:r w:rsidRPr="000C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технологических</w:t>
      </w:r>
      <w:proofErr w:type="gramEnd"/>
      <w:r w:rsidRPr="00421CFE">
        <w:rPr>
          <w:sz w:val="28"/>
          <w:szCs w:val="28"/>
        </w:rPr>
        <w:t xml:space="preserve"> процессов, хранения сырья или продукции, перемещения людей и грузов;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lastRenderedPageBreak/>
        <w:t>необеспечение контроля со стороны руководителей и иных должностных лиц работодателя за ходом выполнения работ;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недостатки в организации и проведении подготовки работников по охране труда;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 xml:space="preserve">неприменение работником средств индивидуальной защиты; 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1CFE">
        <w:rPr>
          <w:sz w:val="28"/>
          <w:szCs w:val="28"/>
        </w:rPr>
        <w:t xml:space="preserve">арушение порядка допуска к работам с повышенной опасностью; 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1CFE">
        <w:rPr>
          <w:sz w:val="28"/>
          <w:szCs w:val="28"/>
        </w:rPr>
        <w:t>арушение работником трудового распорядка и дисциплины труда.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Анализ количества несчастных случаев на производстве с тяжелыми последствиям, происшедших в результате падения при разности уровней высот, в разрезе федеральных округов Российской Федерации путем ранжирования количества указанных случаев по степени убывания показал, что в 2022 году: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27,3 % от общего количества несчастных случаев с тяжелыми последствиям, происшедших в результате падения при разности уровней высот, приходится на Центральный федеральный округ;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17,7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 xml:space="preserve">% – на Приволжский федеральный округ; 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13,0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 xml:space="preserve">% – на Сибирский федеральный округ; 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11,9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– на Уральский федеральный округ;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9,9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– на Северо-Западный федеральный округ;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9,2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– на Южный федеральный округ;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7,5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– на Дальневосточный федеральный округ;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3,5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– на Северо-Кавказский федеральный округ.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При этом в трех федеральных округах отмечается рост в 2022 году количества данных несчастных случаев по сравнению с 2021 годом (Северо-Западный, Южный и Северо-Кавказский федеральные округа).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Наибольшее количество несчастных случаев на производстве с тяжелыми последствиям, происшедших в результате падения при разности уровней высот, зарегистрировано в 2022 году в г. Москве, Свердловской области, г. Санкт- Петербурге, Челябинской области, Республике Башкортостан, Краснодарском крае, Московской, Кемеровской, Иркутской областях, Ханты-Мансийском автономном округе – Югре.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По результатам анализа количества несчастных случаев на производстве с тяжелыми последствиям, происшедших в результате падения на глубину, в разрезе федеральных округов Российской Федерации показал, что в 2022 году: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в Северо-Западном федеральном округе зарегистрировано 34,7 % указанных несчастных случаев от общего количества несчастных случаев с тяжелыми последствиям, происшедших в результате падения на глубину;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в Приволжском федеральном округе – 25,0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в Центральном федеральном округе – 19,4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в Уральском, Сибирском и Дальневосточном федеральных округах – по 5,6%;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в Южном федеральном округе – 4,1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в Северо-Кавказском федеральном округе – случаев не зарегистрировано.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lastRenderedPageBreak/>
        <w:t>Наибольшее количество несчастных случаев на производстве с тяжелыми последствиями, происшедших в результате падения на глубину, отмечено в 2022 году в городах Санкт-Петербурге и Москве, Республике Татарстан.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 xml:space="preserve">Анализ несчастных случаев, которые произошли в 2022 году в результате </w:t>
      </w:r>
      <w:r w:rsidRPr="000C3F75">
        <w:rPr>
          <w:sz w:val="28"/>
          <w:szCs w:val="28"/>
          <w:u w:val="single"/>
        </w:rPr>
        <w:t>падения пострадавшего при разности уровней высот</w:t>
      </w:r>
      <w:r w:rsidRPr="00421CFE">
        <w:rPr>
          <w:sz w:val="28"/>
          <w:szCs w:val="28"/>
        </w:rPr>
        <w:t>, в разрезе видов экономической деятельности свидетельствует, что наибольшее количество несчастных случаев с тяжелыми последствиями происходит в таких группах видов экономической деятельности, как: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строительство (29,6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от общего количества несчастных случаев по данному виду (типу);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обрабатывающие производства (16,7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транспортировка и хранение (8,8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сельское, лесное хозяйства, охота, рыбоводство и рыболовство (5,8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торговля оптовая и розничная; ремонт автотранспортных средств и мотоциклов</w:t>
      </w:r>
    </w:p>
    <w:p w:rsidR="00D4756D" w:rsidRPr="00421CFE" w:rsidRDefault="00D4756D" w:rsidP="00D4756D">
      <w:pPr>
        <w:jc w:val="both"/>
        <w:rPr>
          <w:sz w:val="28"/>
          <w:szCs w:val="28"/>
        </w:rPr>
      </w:pPr>
      <w:r w:rsidRPr="00421CFE">
        <w:rPr>
          <w:sz w:val="28"/>
          <w:szCs w:val="28"/>
        </w:rPr>
        <w:t>(5,7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образование (5,5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предоставление прочих видов услуг (5,2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добыча полезных ископаемых (5,1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 xml:space="preserve">Анализ несчастных случаев, которые произошли в указанном году в </w:t>
      </w:r>
      <w:r w:rsidRPr="000C3F75">
        <w:rPr>
          <w:sz w:val="28"/>
          <w:szCs w:val="28"/>
          <w:u w:val="single"/>
        </w:rPr>
        <w:t>результате падения пострадавшего на глубину</w:t>
      </w:r>
      <w:r w:rsidRPr="00421CFE">
        <w:rPr>
          <w:sz w:val="28"/>
          <w:szCs w:val="28"/>
        </w:rPr>
        <w:t>, в разрезе видов экономической деятельности показал, что наибольшее количество несчастных случаев с тяжелыми последствиями происходит в таких группах видов экономической деятельности, как: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строительство (31,9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от общего количества несчастных случаев по данному виду (типу);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обрабатывающие производства (25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 xml:space="preserve">%); </w:t>
      </w:r>
    </w:p>
    <w:p w:rsidR="00D4756D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добыча полезных ископаемых (13,9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 xml:space="preserve">%); 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транспортировка и хранение (8,3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%);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сельское, лесное хозяйства, охота, рыбоводство и рыболовство (4,1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%).</w:t>
      </w:r>
    </w:p>
    <w:p w:rsidR="00D4756D" w:rsidRPr="00421CFE" w:rsidRDefault="00D4756D" w:rsidP="00D4756D">
      <w:pPr>
        <w:ind w:firstLine="708"/>
        <w:jc w:val="both"/>
        <w:rPr>
          <w:sz w:val="28"/>
          <w:szCs w:val="28"/>
        </w:rPr>
      </w:pPr>
      <w:r w:rsidRPr="00421CFE">
        <w:rPr>
          <w:sz w:val="28"/>
          <w:szCs w:val="28"/>
        </w:rPr>
        <w:t>Вызывает озабоченность рост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</w:t>
      </w:r>
      <w:r>
        <w:rPr>
          <w:sz w:val="28"/>
          <w:szCs w:val="28"/>
        </w:rPr>
        <w:t xml:space="preserve"> %</w:t>
      </w:r>
      <w:r w:rsidRPr="00421CFE">
        <w:rPr>
          <w:sz w:val="28"/>
          <w:szCs w:val="28"/>
        </w:rPr>
        <w:t xml:space="preserve"> в 2021 </w:t>
      </w:r>
      <w:r>
        <w:rPr>
          <w:sz w:val="28"/>
          <w:szCs w:val="28"/>
        </w:rPr>
        <w:t>году</w:t>
      </w:r>
      <w:r w:rsidRPr="00421CFE">
        <w:rPr>
          <w:sz w:val="28"/>
          <w:szCs w:val="28"/>
        </w:rPr>
        <w:t xml:space="preserve"> и 11,3 % </w:t>
      </w:r>
      <w:r>
        <w:rPr>
          <w:sz w:val="28"/>
          <w:szCs w:val="28"/>
        </w:rPr>
        <w:t xml:space="preserve">                     </w:t>
      </w:r>
      <w:r w:rsidRPr="00421CFE">
        <w:rPr>
          <w:sz w:val="28"/>
          <w:szCs w:val="28"/>
        </w:rPr>
        <w:t xml:space="preserve">в 2022 </w:t>
      </w:r>
      <w:r>
        <w:rPr>
          <w:sz w:val="28"/>
          <w:szCs w:val="28"/>
        </w:rPr>
        <w:t>году</w:t>
      </w:r>
      <w:r w:rsidRPr="00421CFE">
        <w:rPr>
          <w:sz w:val="28"/>
          <w:szCs w:val="28"/>
        </w:rPr>
        <w:t>), а также тот факт, что практически каждый второй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необученного безопасным приемам выполнения работ на высоте, а также без оформления наряд-допуска,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 (52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 xml:space="preserve">% в 2021 </w:t>
      </w:r>
      <w:r>
        <w:rPr>
          <w:sz w:val="28"/>
          <w:szCs w:val="28"/>
        </w:rPr>
        <w:t>году</w:t>
      </w:r>
      <w:r w:rsidRPr="00421CFE">
        <w:rPr>
          <w:sz w:val="28"/>
          <w:szCs w:val="28"/>
        </w:rPr>
        <w:t xml:space="preserve"> и 45,7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>% в 2022 г</w:t>
      </w:r>
      <w:r>
        <w:rPr>
          <w:sz w:val="28"/>
          <w:szCs w:val="28"/>
        </w:rPr>
        <w:t>оду</w:t>
      </w:r>
      <w:r w:rsidRPr="00421CFE">
        <w:rPr>
          <w:sz w:val="28"/>
          <w:szCs w:val="28"/>
        </w:rPr>
        <w:t xml:space="preserve">). Нарушения работниками требований инструкций по охране труда, трудового распорядка и дисциплины труда в сфере строительства, явившиеся причинами несчастных случаев на производстве с </w:t>
      </w:r>
      <w:r w:rsidRPr="00421CFE">
        <w:rPr>
          <w:sz w:val="28"/>
          <w:szCs w:val="28"/>
        </w:rPr>
        <w:lastRenderedPageBreak/>
        <w:t>тяжелыми последствиями, составляет 17,6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 xml:space="preserve">% в 2021 </w:t>
      </w:r>
      <w:r>
        <w:rPr>
          <w:sz w:val="28"/>
          <w:szCs w:val="28"/>
        </w:rPr>
        <w:t>году</w:t>
      </w:r>
      <w:r w:rsidRPr="00421C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</w:t>
      </w:r>
      <w:r w:rsidRPr="00421CF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421CFE">
        <w:rPr>
          <w:sz w:val="28"/>
          <w:szCs w:val="28"/>
        </w:rPr>
        <w:t xml:space="preserve">% в 2022 </w:t>
      </w:r>
      <w:r>
        <w:rPr>
          <w:sz w:val="28"/>
          <w:szCs w:val="28"/>
        </w:rPr>
        <w:t>году.</w:t>
      </w:r>
    </w:p>
    <w:p w:rsidR="00A43D80" w:rsidRPr="00D4756D" w:rsidRDefault="00D4756D">
      <w:pPr>
        <w:rPr>
          <w:sz w:val="28"/>
          <w:szCs w:val="28"/>
        </w:rPr>
      </w:pPr>
      <w:r>
        <w:t xml:space="preserve">            </w:t>
      </w:r>
      <w:r w:rsidRPr="00D4756D">
        <w:rPr>
          <w:sz w:val="28"/>
          <w:szCs w:val="28"/>
        </w:rPr>
        <w:t>На территории района за последние годы несчастных случаев на производстве не зарегистрировано.</w:t>
      </w:r>
    </w:p>
    <w:sectPr w:rsidR="00A43D80" w:rsidRPr="00D4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78" w:rsidRDefault="00B84C78" w:rsidP="00BC2171">
      <w:r>
        <w:separator/>
      </w:r>
    </w:p>
  </w:endnote>
  <w:endnote w:type="continuationSeparator" w:id="0">
    <w:p w:rsidR="00B84C78" w:rsidRDefault="00B84C78" w:rsidP="00BC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78" w:rsidRDefault="00B84C78" w:rsidP="00BC2171">
      <w:r>
        <w:separator/>
      </w:r>
    </w:p>
  </w:footnote>
  <w:footnote w:type="continuationSeparator" w:id="0">
    <w:p w:rsidR="00B84C78" w:rsidRDefault="00B84C78" w:rsidP="00BC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C59D7"/>
    <w:rsid w:val="00A43D80"/>
    <w:rsid w:val="00B84C78"/>
    <w:rsid w:val="00BC2171"/>
    <w:rsid w:val="00C60AE5"/>
    <w:rsid w:val="00D2699F"/>
    <w:rsid w:val="00D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2699F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2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171"/>
    <w:rPr>
      <w:sz w:val="24"/>
      <w:szCs w:val="24"/>
    </w:rPr>
  </w:style>
  <w:style w:type="paragraph" w:styleId="a5">
    <w:name w:val="footer"/>
    <w:basedOn w:val="a"/>
    <w:link w:val="a6"/>
    <w:rsid w:val="00BC2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2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2023-06-20T11:38:00Z</dcterms:created>
  <dcterms:modified xsi:type="dcterms:W3CDTF">2023-06-20T11:38:00Z</dcterms:modified>
</cp:coreProperties>
</file>