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1717FD18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Воробейнское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040A4E">
        <w:rPr>
          <w:rFonts w:ascii="Times New Roman" w:hAnsi="Times New Roman" w:cs="Times New Roman"/>
        </w:rPr>
        <w:t>0</w:t>
      </w:r>
      <w:r w:rsidR="00F26DD5" w:rsidRPr="00F26DD5">
        <w:rPr>
          <w:rFonts w:ascii="Times New Roman" w:hAnsi="Times New Roman" w:cs="Times New Roman"/>
        </w:rPr>
        <w:t>00000</w:t>
      </w:r>
      <w:r w:rsidR="00D62292">
        <w:rPr>
          <w:rFonts w:ascii="Times New Roman" w:hAnsi="Times New Roman" w:cs="Times New Roman"/>
        </w:rPr>
        <w:t>:</w:t>
      </w:r>
      <w:r w:rsidR="00F26DD5" w:rsidRPr="00F26DD5">
        <w:rPr>
          <w:rFonts w:ascii="Times New Roman" w:hAnsi="Times New Roman" w:cs="Times New Roman"/>
        </w:rPr>
        <w:t>562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F26DD5" w:rsidRPr="00F26DD5">
        <w:rPr>
          <w:rFonts w:ascii="Times New Roman" w:hAnsi="Times New Roman" w:cs="Times New Roman"/>
        </w:rPr>
        <w:t>59022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0E55375F" w14:textId="5E50C222" w:rsidR="00F26DD5" w:rsidRPr="00F26DD5" w:rsidRDefault="00F26DD5" w:rsidP="00F26DD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</w:t>
      </w:r>
      <w:r w:rsidRPr="00687FC4">
        <w:rPr>
          <w:sz w:val="22"/>
          <w:szCs w:val="22"/>
        </w:rPr>
        <w:lastRenderedPageBreak/>
        <w:t>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33</cp:revision>
  <cp:lastPrinted>2019-06-27T11:39:00Z</cp:lastPrinted>
  <dcterms:created xsi:type="dcterms:W3CDTF">2016-04-28T09:49:00Z</dcterms:created>
  <dcterms:modified xsi:type="dcterms:W3CDTF">2022-03-25T06:28:00Z</dcterms:modified>
</cp:coreProperties>
</file>